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90" w:lineRule="exact"/>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钦州市矿石行业及钦州港片区物流行业装载监管</w:t>
      </w:r>
      <w:r>
        <w:rPr>
          <w:rFonts w:hint="eastAsia" w:ascii="方正小标宋_GBK" w:hAnsi="方正小标宋_GBK" w:eastAsia="方正小标宋_GBK" w:cs="方正小标宋_GBK"/>
          <w:sz w:val="44"/>
          <w:szCs w:val="44"/>
          <w:lang w:eastAsia="zh-CN"/>
        </w:rPr>
        <w:t>数据采集应用服务（</w:t>
      </w:r>
      <w:r>
        <w:rPr>
          <w:rFonts w:hint="eastAsia" w:ascii="方正小标宋_GBK" w:hAnsi="方正小标宋_GBK" w:eastAsia="方正小标宋_GBK" w:cs="方正小标宋_GBK"/>
          <w:sz w:val="44"/>
          <w:szCs w:val="44"/>
          <w:lang w:val="en-US" w:eastAsia="zh-CN"/>
        </w:rPr>
        <w:t>一期</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报价明细表</w:t>
      </w:r>
    </w:p>
    <w:p>
      <w:pPr>
        <w:widowControl/>
        <w:jc w:val="left"/>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 xml:space="preserve">报价单位：     </w:t>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ab/>
      </w:r>
      <w:r>
        <w:rPr>
          <w:rFonts w:hint="eastAsia" w:ascii="仿宋_GB2312" w:hAnsi="仿宋_GB2312" w:eastAsia="仿宋_GB2312" w:cs="仿宋_GB2312"/>
          <w:color w:val="000000"/>
          <w:kern w:val="0"/>
          <w:sz w:val="22"/>
          <w:szCs w:val="22"/>
          <w:lang w:val="en-US" w:eastAsia="zh-CN"/>
        </w:rPr>
        <w:t>日期：</w:t>
      </w:r>
    </w:p>
    <w:tbl>
      <w:tblPr>
        <w:tblStyle w:val="9"/>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316"/>
        <w:gridCol w:w="3403"/>
        <w:gridCol w:w="722"/>
        <w:gridCol w:w="695"/>
        <w:gridCol w:w="1007"/>
        <w:gridCol w:w="114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69"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序号</w:t>
            </w:r>
          </w:p>
        </w:tc>
        <w:tc>
          <w:tcPr>
            <w:tcW w:w="1316" w:type="dxa"/>
            <w:noWrap/>
            <w:vAlign w:val="center"/>
          </w:tcPr>
          <w:p>
            <w:pPr>
              <w:widowControl/>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名称</w:t>
            </w:r>
          </w:p>
        </w:tc>
        <w:tc>
          <w:tcPr>
            <w:tcW w:w="3403"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服务内容</w:t>
            </w:r>
          </w:p>
        </w:tc>
        <w:tc>
          <w:tcPr>
            <w:tcW w:w="722"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数量</w:t>
            </w:r>
          </w:p>
        </w:tc>
        <w:tc>
          <w:tcPr>
            <w:tcW w:w="695"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单位</w:t>
            </w:r>
          </w:p>
        </w:tc>
        <w:tc>
          <w:tcPr>
            <w:tcW w:w="1007"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单价(元）</w:t>
            </w:r>
          </w:p>
        </w:tc>
        <w:tc>
          <w:tcPr>
            <w:tcW w:w="1145" w:type="dxa"/>
            <w:noWrap/>
            <w:vAlign w:val="center"/>
          </w:tcPr>
          <w:p>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小计（元）</w:t>
            </w:r>
          </w:p>
        </w:tc>
        <w:tc>
          <w:tcPr>
            <w:tcW w:w="1250" w:type="dxa"/>
            <w:noWrap/>
            <w:vAlign w:val="center"/>
          </w:tcPr>
          <w:p>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69" w:type="dxa"/>
            <w:noWrap/>
            <w:vAlign w:val="center"/>
          </w:tcPr>
          <w:p>
            <w:pPr>
              <w:widowControl/>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1</w:t>
            </w:r>
          </w:p>
        </w:tc>
        <w:tc>
          <w:tcPr>
            <w:tcW w:w="1316" w:type="dxa"/>
            <w:noWrap w:val="0"/>
            <w:vAlign w:val="center"/>
          </w:tcPr>
          <w:p>
            <w:pPr>
              <w:widowControl/>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highlight w:val="none"/>
                <w:lang w:val="en-US" w:eastAsia="zh-CN"/>
              </w:rPr>
              <w:t>各县区</w:t>
            </w:r>
            <w:r>
              <w:rPr>
                <w:rFonts w:hint="eastAsia" w:ascii="仿宋_GB2312" w:hAnsi="仿宋_GB2312" w:eastAsia="仿宋_GB2312" w:cs="仿宋_GB2312"/>
                <w:color w:val="auto"/>
                <w:kern w:val="0"/>
                <w:sz w:val="22"/>
                <w:szCs w:val="22"/>
                <w:lang w:eastAsia="zh-CN"/>
              </w:rPr>
              <w:t>矿石监管和税收共治平台</w:t>
            </w:r>
            <w:r>
              <w:rPr>
                <w:rFonts w:hint="eastAsia" w:ascii="仿宋_GB2312" w:hAnsi="仿宋_GB2312" w:eastAsia="仿宋_GB2312" w:cs="仿宋_GB2312"/>
                <w:color w:val="auto"/>
                <w:kern w:val="0"/>
                <w:sz w:val="22"/>
                <w:szCs w:val="22"/>
                <w:lang w:val="en-US" w:eastAsia="zh-CN"/>
              </w:rPr>
              <w:t>数据采集服务</w:t>
            </w:r>
          </w:p>
        </w:tc>
        <w:tc>
          <w:tcPr>
            <w:tcW w:w="3403" w:type="dxa"/>
            <w:noWrap w:val="0"/>
            <w:vAlign w:val="center"/>
          </w:tcPr>
          <w:p>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采集</w:t>
            </w:r>
            <w:r>
              <w:rPr>
                <w:rFonts w:hint="eastAsia" w:ascii="仿宋_GB2312" w:hAnsi="仿宋_GB2312" w:eastAsia="仿宋_GB2312" w:cs="仿宋_GB2312"/>
                <w:color w:val="auto"/>
                <w:kern w:val="0"/>
                <w:sz w:val="22"/>
                <w:szCs w:val="22"/>
                <w:highlight w:val="none"/>
                <w:lang w:val="en-US" w:eastAsia="zh-CN"/>
              </w:rPr>
              <w:t>各县区</w:t>
            </w:r>
            <w:r>
              <w:rPr>
                <w:rFonts w:hint="eastAsia" w:ascii="仿宋_GB2312" w:hAnsi="仿宋_GB2312" w:eastAsia="仿宋_GB2312" w:cs="仿宋_GB2312"/>
                <w:color w:val="auto"/>
                <w:kern w:val="0"/>
                <w:sz w:val="22"/>
                <w:szCs w:val="22"/>
                <w:lang w:val="en-US" w:eastAsia="zh-CN"/>
              </w:rPr>
              <w:t>矿石监管和税收共治平台矿石行业运输车辆过磅称重、车牌、过磅照片等数据。</w:t>
            </w:r>
          </w:p>
        </w:tc>
        <w:tc>
          <w:tcPr>
            <w:tcW w:w="722" w:type="dxa"/>
            <w:noWrap/>
            <w:vAlign w:val="center"/>
          </w:tcPr>
          <w:p>
            <w:pPr>
              <w:widowControl/>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1</w:t>
            </w:r>
          </w:p>
        </w:tc>
        <w:tc>
          <w:tcPr>
            <w:tcW w:w="695" w:type="dxa"/>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w:t>
            </w:r>
            <w:bookmarkStart w:id="0" w:name="_GoBack"/>
            <w:bookmarkEnd w:id="0"/>
          </w:p>
        </w:tc>
        <w:tc>
          <w:tcPr>
            <w:tcW w:w="1007"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p>
        </w:tc>
        <w:tc>
          <w:tcPr>
            <w:tcW w:w="1145"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p>
        </w:tc>
        <w:tc>
          <w:tcPr>
            <w:tcW w:w="1250" w:type="dxa"/>
            <w:noWrap/>
            <w:vAlign w:val="center"/>
          </w:tcPr>
          <w:p>
            <w:pPr>
              <w:widowControl/>
              <w:jc w:val="left"/>
              <w:rPr>
                <w:rFonts w:hint="default" w:ascii="仿宋_GB2312" w:hAnsi="仿宋_GB2312" w:eastAsia="仿宋_GB2312" w:cs="仿宋_GB2312"/>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69"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w:t>
            </w:r>
          </w:p>
        </w:tc>
        <w:tc>
          <w:tcPr>
            <w:tcW w:w="1316" w:type="dxa"/>
            <w:noWrap w:val="0"/>
            <w:vAlign w:val="center"/>
          </w:tcPr>
          <w:p>
            <w:pPr>
              <w:widowControl/>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采集钦州港散杂货作业信息化管理系统数据采集服务</w:t>
            </w:r>
          </w:p>
        </w:tc>
        <w:tc>
          <w:tcPr>
            <w:tcW w:w="3403" w:type="dxa"/>
            <w:noWrap w:val="0"/>
            <w:vAlign w:val="center"/>
          </w:tcPr>
          <w:p>
            <w:pPr>
              <w:widowControl/>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采集钦州港散杂货作业信息化管理系统钦州港片区物流行业运输车辆过磅称重、车牌等数据。</w:t>
            </w:r>
          </w:p>
        </w:tc>
        <w:tc>
          <w:tcPr>
            <w:tcW w:w="722" w:type="dxa"/>
            <w:noWrap/>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w:t>
            </w:r>
          </w:p>
        </w:tc>
        <w:tc>
          <w:tcPr>
            <w:tcW w:w="695"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年</w:t>
            </w:r>
          </w:p>
        </w:tc>
        <w:tc>
          <w:tcPr>
            <w:tcW w:w="1007"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p>
        </w:tc>
        <w:tc>
          <w:tcPr>
            <w:tcW w:w="1145" w:type="dxa"/>
            <w:noWrap/>
            <w:vAlign w:val="center"/>
          </w:tcPr>
          <w:p>
            <w:pPr>
              <w:widowControl/>
              <w:jc w:val="center"/>
              <w:rPr>
                <w:rFonts w:hint="eastAsia" w:ascii="仿宋_GB2312" w:hAnsi="仿宋_GB2312" w:eastAsia="仿宋_GB2312" w:cs="仿宋_GB2312"/>
                <w:color w:val="000000"/>
                <w:kern w:val="0"/>
                <w:sz w:val="22"/>
                <w:szCs w:val="22"/>
                <w:lang w:val="en-US" w:eastAsia="zh-CN"/>
              </w:rPr>
            </w:pPr>
          </w:p>
        </w:tc>
        <w:tc>
          <w:tcPr>
            <w:tcW w:w="1250" w:type="dxa"/>
            <w:noWrap/>
            <w:vAlign w:val="center"/>
          </w:tcPr>
          <w:p>
            <w:pPr>
              <w:widowControl/>
              <w:jc w:val="left"/>
              <w:rPr>
                <w:rFonts w:hint="eastAsia" w:ascii="仿宋_GB2312" w:hAnsi="仿宋_GB2312" w:eastAsia="仿宋_GB2312" w:cs="仿宋_GB2312"/>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69" w:type="dxa"/>
            <w:shd w:val="clear" w:color="auto" w:fill="auto"/>
            <w:noWrap/>
            <w:vAlign w:val="center"/>
          </w:tcPr>
          <w:p>
            <w:pPr>
              <w:widowControl/>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3</w:t>
            </w:r>
          </w:p>
        </w:tc>
        <w:tc>
          <w:tcPr>
            <w:tcW w:w="1316" w:type="dxa"/>
            <w:shd w:val="clear" w:color="auto" w:fill="auto"/>
            <w:noWrap w:val="0"/>
            <w:vAlign w:val="center"/>
          </w:tcPr>
          <w:p>
            <w:pPr>
              <w:widowControl/>
              <w:jc w:val="left"/>
              <w:rPr>
                <w:rFonts w:hint="default" w:ascii="仿宋_GB2312" w:hAnsi="仿宋_GB2312" w:eastAsia="仿宋_GB2312" w:cs="仿宋_GB2312"/>
                <w:color w:val="auto"/>
                <w:kern w:val="0"/>
                <w:sz w:val="22"/>
                <w:szCs w:val="22"/>
                <w:lang w:val="en-US" w:eastAsia="zh-CN" w:bidi="ar-SA"/>
              </w:rPr>
            </w:pPr>
            <w:r>
              <w:rPr>
                <w:rFonts w:hint="eastAsia" w:ascii="仿宋_GB2312" w:hAnsi="仿宋_GB2312" w:eastAsia="仿宋_GB2312" w:cs="仿宋_GB2312"/>
                <w:color w:val="auto"/>
                <w:kern w:val="0"/>
                <w:sz w:val="22"/>
                <w:szCs w:val="22"/>
                <w:lang w:val="en-US" w:eastAsia="zh-CN"/>
              </w:rPr>
              <w:t>数据统一接入钦州市治超联网管理信息系统的</w:t>
            </w:r>
            <w:r>
              <w:rPr>
                <w:rFonts w:hint="eastAsia" w:ascii="仿宋_GB2312" w:hAnsi="仿宋_GB2312" w:eastAsia="仿宋_GB2312" w:cs="仿宋_GB2312"/>
                <w:color w:val="auto"/>
                <w:kern w:val="0"/>
                <w:sz w:val="22"/>
                <w:szCs w:val="22"/>
                <w:lang w:eastAsia="zh-CN"/>
              </w:rPr>
              <w:t>矿石行业及钦州港片区物流行业装载监管</w:t>
            </w:r>
            <w:r>
              <w:rPr>
                <w:rFonts w:hint="eastAsia" w:ascii="仿宋_GB2312" w:hAnsi="仿宋_GB2312" w:eastAsia="仿宋_GB2312" w:cs="仿宋_GB2312"/>
                <w:color w:val="auto"/>
                <w:kern w:val="0"/>
                <w:sz w:val="22"/>
                <w:szCs w:val="22"/>
                <w:lang w:eastAsia="zh-CN"/>
              </w:rPr>
              <w:t>模块</w:t>
            </w:r>
            <w:r>
              <w:rPr>
                <w:rFonts w:hint="eastAsia" w:ascii="仿宋_GB2312" w:hAnsi="仿宋_GB2312" w:eastAsia="仿宋_GB2312" w:cs="仿宋_GB2312"/>
                <w:color w:val="auto"/>
                <w:kern w:val="0"/>
                <w:sz w:val="22"/>
                <w:szCs w:val="22"/>
                <w:lang w:val="en-US" w:eastAsia="zh-CN"/>
              </w:rPr>
              <w:t>及“钦点即到”微信小程序服务</w:t>
            </w:r>
          </w:p>
        </w:tc>
        <w:tc>
          <w:tcPr>
            <w:tcW w:w="3403" w:type="dxa"/>
            <w:shd w:val="clear" w:color="auto" w:fill="auto"/>
            <w:noWrap w:val="0"/>
            <w:vAlign w:val="center"/>
          </w:tcPr>
          <w:p>
            <w:pPr>
              <w:widowControl/>
              <w:jc w:val="left"/>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w:t>
            </w:r>
            <w:r>
              <w:rPr>
                <w:rFonts w:hint="eastAsia" w:ascii="仿宋_GB2312" w:hAnsi="仿宋_GB2312" w:eastAsia="仿宋_GB2312" w:cs="仿宋_GB2312"/>
                <w:color w:val="auto"/>
                <w:kern w:val="0"/>
                <w:sz w:val="22"/>
                <w:szCs w:val="22"/>
                <w:highlight w:val="none"/>
                <w:lang w:val="en-US" w:eastAsia="zh-CN"/>
              </w:rPr>
              <w:t>各县区</w:t>
            </w:r>
            <w:r>
              <w:rPr>
                <w:rFonts w:hint="eastAsia" w:ascii="仿宋_GB2312" w:hAnsi="仿宋_GB2312" w:eastAsia="仿宋_GB2312" w:cs="仿宋_GB2312"/>
                <w:color w:val="auto"/>
                <w:kern w:val="0"/>
                <w:sz w:val="22"/>
                <w:szCs w:val="22"/>
                <w:lang w:eastAsia="zh-CN"/>
              </w:rPr>
              <w:t>矿石监管和税收共治平台</w:t>
            </w:r>
            <w:r>
              <w:rPr>
                <w:rFonts w:hint="eastAsia" w:ascii="仿宋_GB2312" w:hAnsi="仿宋_GB2312" w:eastAsia="仿宋_GB2312" w:cs="仿宋_GB2312"/>
                <w:color w:val="auto"/>
                <w:kern w:val="0"/>
                <w:sz w:val="22"/>
                <w:szCs w:val="22"/>
                <w:lang w:val="en-US" w:eastAsia="zh-CN"/>
              </w:rPr>
              <w:t>数据、钦州港散杂货作业信息化管理系统数据，通过互联网统一接入钦州市治超联网管理信息系统的</w:t>
            </w:r>
            <w:r>
              <w:rPr>
                <w:rFonts w:hint="eastAsia" w:ascii="仿宋_GB2312" w:hAnsi="仿宋_GB2312" w:eastAsia="仿宋_GB2312" w:cs="仿宋_GB2312"/>
                <w:color w:val="auto"/>
                <w:kern w:val="0"/>
                <w:sz w:val="22"/>
                <w:szCs w:val="22"/>
                <w:lang w:eastAsia="zh-CN"/>
              </w:rPr>
              <w:t>矿石行业及钦州港片区物流行业装载监管</w:t>
            </w:r>
            <w:r>
              <w:rPr>
                <w:rFonts w:hint="eastAsia" w:ascii="仿宋_GB2312" w:hAnsi="仿宋_GB2312" w:eastAsia="仿宋_GB2312" w:cs="仿宋_GB2312"/>
                <w:color w:val="auto"/>
                <w:kern w:val="0"/>
                <w:sz w:val="22"/>
                <w:szCs w:val="22"/>
                <w:lang w:eastAsia="zh-CN"/>
              </w:rPr>
              <w:t>模块</w:t>
            </w:r>
            <w:r>
              <w:rPr>
                <w:rFonts w:hint="eastAsia" w:ascii="仿宋_GB2312" w:hAnsi="仿宋_GB2312" w:eastAsia="仿宋_GB2312" w:cs="仿宋_GB2312"/>
                <w:color w:val="auto"/>
                <w:kern w:val="0"/>
                <w:sz w:val="22"/>
                <w:szCs w:val="22"/>
                <w:lang w:val="en-US" w:eastAsia="zh-CN"/>
              </w:rPr>
              <w:t>，满足源头治超统计分析、智能预警、数据管理、运行监管等需求。</w:t>
            </w:r>
          </w:p>
          <w:p>
            <w:pPr>
              <w:widowControl/>
              <w:jc w:val="left"/>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2.以上数据，同步接入“钦点即到”微信小程序，方便工作人员用手机查看。</w:t>
            </w:r>
          </w:p>
          <w:p>
            <w:pPr>
              <w:widowControl/>
              <w:jc w:val="left"/>
              <w:rPr>
                <w:rFonts w:hint="eastAsia" w:ascii="仿宋_GB2312" w:hAnsi="仿宋_GB2312" w:eastAsia="仿宋_GB2312" w:cs="仿宋_GB2312"/>
                <w:color w:val="auto"/>
                <w:kern w:val="0"/>
                <w:sz w:val="22"/>
                <w:szCs w:val="22"/>
                <w:lang w:val="en-US" w:eastAsia="zh-CN" w:bidi="ar-SA"/>
              </w:rPr>
            </w:pPr>
          </w:p>
        </w:tc>
        <w:tc>
          <w:tcPr>
            <w:tcW w:w="722" w:type="dxa"/>
            <w:shd w:val="clear" w:color="auto" w:fill="auto"/>
            <w:noWrap/>
            <w:vAlign w:val="center"/>
          </w:tcPr>
          <w:p>
            <w:pPr>
              <w:widowControl/>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1</w:t>
            </w:r>
          </w:p>
        </w:tc>
        <w:tc>
          <w:tcPr>
            <w:tcW w:w="695" w:type="dxa"/>
            <w:shd w:val="clear" w:color="auto" w:fill="auto"/>
            <w:noWrap/>
            <w:vAlign w:val="center"/>
          </w:tcPr>
          <w:p>
            <w:pPr>
              <w:widowControl/>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年</w:t>
            </w:r>
          </w:p>
        </w:tc>
        <w:tc>
          <w:tcPr>
            <w:tcW w:w="1007" w:type="dxa"/>
            <w:shd w:val="clear" w:color="auto" w:fill="auto"/>
            <w:noWrap/>
            <w:vAlign w:val="center"/>
          </w:tcPr>
          <w:p>
            <w:pPr>
              <w:widowControl/>
              <w:jc w:val="center"/>
              <w:rPr>
                <w:rFonts w:hint="eastAsia" w:ascii="仿宋_GB2312" w:hAnsi="仿宋_GB2312" w:eastAsia="仿宋_GB2312" w:cs="仿宋_GB2312"/>
                <w:color w:val="000000"/>
                <w:kern w:val="0"/>
                <w:sz w:val="22"/>
                <w:szCs w:val="22"/>
                <w:lang w:val="en-US" w:eastAsia="zh-CN" w:bidi="ar-SA"/>
              </w:rPr>
            </w:pPr>
          </w:p>
        </w:tc>
        <w:tc>
          <w:tcPr>
            <w:tcW w:w="1145" w:type="dxa"/>
            <w:shd w:val="clear" w:color="auto" w:fill="auto"/>
            <w:noWrap/>
            <w:vAlign w:val="center"/>
          </w:tcPr>
          <w:p>
            <w:pPr>
              <w:widowControl/>
              <w:jc w:val="center"/>
              <w:rPr>
                <w:rFonts w:hint="eastAsia" w:ascii="仿宋_GB2312" w:hAnsi="仿宋_GB2312" w:eastAsia="仿宋_GB2312" w:cs="仿宋_GB2312"/>
                <w:color w:val="000000"/>
                <w:kern w:val="0"/>
                <w:sz w:val="22"/>
                <w:szCs w:val="22"/>
                <w:lang w:val="en-US" w:eastAsia="zh-CN" w:bidi="ar-SA"/>
              </w:rPr>
            </w:pPr>
          </w:p>
        </w:tc>
        <w:tc>
          <w:tcPr>
            <w:tcW w:w="1250" w:type="dxa"/>
            <w:shd w:val="clear" w:color="auto" w:fill="auto"/>
            <w:noWrap/>
            <w:vAlign w:val="center"/>
          </w:tcPr>
          <w:p>
            <w:pPr>
              <w:widowControl/>
              <w:jc w:val="left"/>
              <w:rPr>
                <w:rFonts w:hint="eastAsia" w:ascii="仿宋_GB2312" w:hAnsi="仿宋_GB2312" w:eastAsia="仿宋_GB2312" w:cs="仿宋_GB2312"/>
                <w:color w:val="00000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812" w:type="dxa"/>
            <w:gridSpan w:val="6"/>
            <w:noWrap/>
            <w:vAlign w:val="center"/>
          </w:tcPr>
          <w:p>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总合计（元）：</w:t>
            </w:r>
          </w:p>
        </w:tc>
        <w:tc>
          <w:tcPr>
            <w:tcW w:w="1145" w:type="dxa"/>
            <w:noWrap/>
            <w:vAlign w:val="center"/>
          </w:tcPr>
          <w:p>
            <w:pPr>
              <w:widowControl/>
              <w:jc w:val="right"/>
              <w:rPr>
                <w:rFonts w:hint="eastAsia" w:ascii="仿宋_GB2312" w:hAnsi="仿宋_GB2312" w:eastAsia="仿宋_GB2312" w:cs="仿宋_GB2312"/>
                <w:b/>
                <w:bCs/>
                <w:color w:val="000000"/>
                <w:kern w:val="0"/>
                <w:sz w:val="24"/>
                <w:lang w:val="en-US"/>
              </w:rPr>
            </w:pPr>
          </w:p>
        </w:tc>
        <w:tc>
          <w:tcPr>
            <w:tcW w:w="1250" w:type="dxa"/>
            <w:noWrap/>
            <w:vAlign w:val="center"/>
          </w:tcPr>
          <w:p>
            <w:pPr>
              <w:widowControl/>
              <w:jc w:val="left"/>
              <w:rPr>
                <w:rFonts w:hint="eastAsia" w:ascii="仿宋_GB2312" w:hAnsi="仿宋_GB2312" w:eastAsia="仿宋_GB2312" w:cs="仿宋_GB2312"/>
                <w:color w:val="000000"/>
                <w:kern w:val="0"/>
                <w:sz w:val="22"/>
                <w:szCs w:val="22"/>
              </w:rPr>
            </w:pPr>
          </w:p>
        </w:tc>
      </w:tr>
    </w:tbl>
    <w:p>
      <w:pPr>
        <w:tabs>
          <w:tab w:val="center" w:pos="4153"/>
          <w:tab w:val="right" w:pos="7663"/>
        </w:tabs>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pPr>
    </w:p>
    <w:sectPr>
      <w:footerReference r:id="rId3"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1AD3F"/>
    <w:multiLevelType w:val="multilevel"/>
    <w:tmpl w:val="6731AD3F"/>
    <w:lvl w:ilvl="0" w:tentative="0">
      <w:start w:val="1"/>
      <w:numFmt w:val="decimal"/>
      <w:pStyle w:val="2"/>
      <w:suff w:val="space"/>
      <w:lvlText w:val="第%1章."/>
      <w:lvlJc w:val="left"/>
      <w:pPr>
        <w:ind w:left="0" w:firstLine="0"/>
      </w:pPr>
      <w:rPr>
        <w:rFonts w:hint="default" w:ascii="Times New Roman" w:eastAsia="黑体"/>
        <w:b w:val="0"/>
        <w:i w:val="0"/>
        <w:sz w:val="30"/>
      </w:rPr>
    </w:lvl>
    <w:lvl w:ilvl="1" w:tentative="0">
      <w:start w:val="1"/>
      <w:numFmt w:val="decimal"/>
      <w:isLgl/>
      <w:lvlText w:val="%1.%2."/>
      <w:lvlJc w:val="left"/>
      <w:pPr>
        <w:tabs>
          <w:tab w:val="left" w:pos="0"/>
        </w:tabs>
        <w:ind w:left="0" w:firstLine="0"/>
      </w:pPr>
      <w:rPr>
        <w:rFonts w:hint="eastAsia" w:ascii="Times New Roman" w:eastAsia="黑体"/>
        <w:b w:val="0"/>
        <w:i w:val="0"/>
        <w:color w:val="000000"/>
        <w:w w:val="100"/>
        <w:sz w:val="28"/>
        <w:u w:val="none"/>
      </w:rPr>
    </w:lvl>
    <w:lvl w:ilvl="2" w:tentative="0">
      <w:start w:val="1"/>
      <w:numFmt w:val="decimal"/>
      <w:isLgl/>
      <w:lvlText w:val="%1.%2.%3."/>
      <w:lvlJc w:val="left"/>
      <w:pPr>
        <w:tabs>
          <w:tab w:val="left" w:pos="0"/>
        </w:tabs>
        <w:ind w:left="0" w:firstLine="0"/>
      </w:pPr>
      <w:rPr>
        <w:rFonts w:hint="eastAsia" w:ascii="Times New Roman" w:eastAsia="黑体"/>
        <w:b w:val="0"/>
        <w:i w:val="0"/>
        <w:sz w:val="28"/>
      </w:rPr>
    </w:lvl>
    <w:lvl w:ilvl="3" w:tentative="0">
      <w:start w:val="1"/>
      <w:numFmt w:val="decimal"/>
      <w:isLgl/>
      <w:lvlText w:val="%1.%2.%3.%4."/>
      <w:lvlJc w:val="left"/>
      <w:pPr>
        <w:tabs>
          <w:tab w:val="left" w:pos="0"/>
        </w:tabs>
        <w:ind w:left="0" w:firstLine="0"/>
      </w:pPr>
      <w:rPr>
        <w:rFonts w:hint="eastAsia" w:ascii="Times New Roman" w:eastAsia="黑体"/>
        <w:b w:val="0"/>
        <w:i w:val="0"/>
        <w:sz w:val="28"/>
      </w:rPr>
    </w:lvl>
    <w:lvl w:ilvl="4" w:tentative="0">
      <w:start w:val="1"/>
      <w:numFmt w:val="decimal"/>
      <w:isLgl/>
      <w:lvlText w:val="%1.%2.%3.%4.%5."/>
      <w:lvlJc w:val="left"/>
      <w:pPr>
        <w:tabs>
          <w:tab w:val="left" w:pos="0"/>
        </w:tabs>
        <w:ind w:left="0" w:firstLine="0"/>
      </w:pPr>
      <w:rPr>
        <w:rFonts w:hint="eastAsia" w:ascii="Times New Roman" w:eastAsia="黑体"/>
        <w:b w:val="0"/>
        <w:i w:val="0"/>
        <w:w w:val="100"/>
        <w:sz w:val="28"/>
        <w:u w:val="none"/>
      </w:rPr>
    </w:lvl>
    <w:lvl w:ilvl="5" w:tentative="0">
      <w:start w:val="1"/>
      <w:numFmt w:val="decimal"/>
      <w:isLgl/>
      <w:lvlText w:val="%1.%2.%3.%4.%5.%6."/>
      <w:lvlJc w:val="left"/>
      <w:pPr>
        <w:tabs>
          <w:tab w:val="left" w:pos="0"/>
        </w:tabs>
        <w:ind w:left="0" w:firstLine="0"/>
      </w:pPr>
      <w:rPr>
        <w:rFonts w:hint="eastAsia" w:ascii="Times New Roman" w:eastAsia="黑体"/>
        <w:b w:val="0"/>
        <w:i w:val="0"/>
        <w:color w:val="000000"/>
        <w:w w:val="100"/>
        <w:sz w:val="28"/>
        <w:u w:val="none"/>
      </w:rPr>
    </w:lvl>
    <w:lvl w:ilvl="6" w:tentative="0">
      <w:start w:val="1"/>
      <w:numFmt w:val="decimal"/>
      <w:isLgl/>
      <w:lvlText w:val="%1.%2.%3.%4.%5.%6.%7."/>
      <w:lvlJc w:val="left"/>
      <w:pPr>
        <w:tabs>
          <w:tab w:val="left" w:pos="0"/>
        </w:tabs>
        <w:ind w:left="0" w:firstLine="0"/>
      </w:pPr>
      <w:rPr>
        <w:rFonts w:hint="eastAsia" w:ascii="Times New Roman" w:eastAsia="黑体"/>
        <w:b w:val="0"/>
        <w:i w:val="0"/>
        <w:sz w:val="28"/>
      </w:rPr>
    </w:lvl>
    <w:lvl w:ilvl="7" w:tentative="0">
      <w:start w:val="1"/>
      <w:numFmt w:val="decimal"/>
      <w:isLgl/>
      <w:lvlText w:val="%1.%2.%3.%4.%5.%6.%7.%8."/>
      <w:lvlJc w:val="left"/>
      <w:pPr>
        <w:tabs>
          <w:tab w:val="left" w:pos="0"/>
        </w:tabs>
        <w:ind w:left="0" w:firstLine="0"/>
      </w:pPr>
      <w:rPr>
        <w:rFonts w:hint="eastAsia" w:ascii="Times New Roman" w:eastAsia="黑体"/>
        <w:b w:val="0"/>
        <w:i w:val="0"/>
        <w:sz w:val="28"/>
      </w:rPr>
    </w:lvl>
    <w:lvl w:ilvl="8" w:tentative="0">
      <w:start w:val="1"/>
      <w:numFmt w:val="decimal"/>
      <w:isLgl/>
      <w:lvlText w:val="%1.%2.%3.%4.%5.%6.%7.%8.%9."/>
      <w:lvlJc w:val="left"/>
      <w:pPr>
        <w:tabs>
          <w:tab w:val="left" w:pos="0"/>
        </w:tabs>
        <w:ind w:left="0" w:firstLine="0"/>
      </w:pPr>
      <w:rPr>
        <w:rFonts w:hint="eastAsia" w:ascii="Times New Roman" w:eastAsia="黑体"/>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jdiMWRkYzFkNDhjNTM0OWQyMjYzY2I1MzNjZTgifQ=="/>
  </w:docVars>
  <w:rsids>
    <w:rsidRoot w:val="00000000"/>
    <w:rsid w:val="02E35293"/>
    <w:rsid w:val="03E863CD"/>
    <w:rsid w:val="05D830A9"/>
    <w:rsid w:val="061B4D44"/>
    <w:rsid w:val="061C0E3F"/>
    <w:rsid w:val="0764049E"/>
    <w:rsid w:val="0A0F696E"/>
    <w:rsid w:val="0A5578C2"/>
    <w:rsid w:val="0D9755F8"/>
    <w:rsid w:val="0ECF2B6F"/>
    <w:rsid w:val="10CF355A"/>
    <w:rsid w:val="11A958FA"/>
    <w:rsid w:val="1361150E"/>
    <w:rsid w:val="14F450DE"/>
    <w:rsid w:val="15BD7BC5"/>
    <w:rsid w:val="166E2C6E"/>
    <w:rsid w:val="1A732F49"/>
    <w:rsid w:val="1E543091"/>
    <w:rsid w:val="1F705CA9"/>
    <w:rsid w:val="218B0B78"/>
    <w:rsid w:val="24596D0B"/>
    <w:rsid w:val="25C7239A"/>
    <w:rsid w:val="271C2272"/>
    <w:rsid w:val="27BA7323"/>
    <w:rsid w:val="27FC457D"/>
    <w:rsid w:val="2B345DDC"/>
    <w:rsid w:val="2B3C7A28"/>
    <w:rsid w:val="2BBE1B4A"/>
    <w:rsid w:val="2EEF76C7"/>
    <w:rsid w:val="2FEA7467"/>
    <w:rsid w:val="307750E9"/>
    <w:rsid w:val="312608BD"/>
    <w:rsid w:val="36327EA5"/>
    <w:rsid w:val="38415FDC"/>
    <w:rsid w:val="3B926F37"/>
    <w:rsid w:val="3DB37034"/>
    <w:rsid w:val="40754A75"/>
    <w:rsid w:val="40A35A86"/>
    <w:rsid w:val="41401527"/>
    <w:rsid w:val="445D7CFA"/>
    <w:rsid w:val="44801C3A"/>
    <w:rsid w:val="44B82C55"/>
    <w:rsid w:val="44D97CC8"/>
    <w:rsid w:val="46FC37FA"/>
    <w:rsid w:val="47D429C9"/>
    <w:rsid w:val="492D2391"/>
    <w:rsid w:val="4E6F0D56"/>
    <w:rsid w:val="4F2204BE"/>
    <w:rsid w:val="50381108"/>
    <w:rsid w:val="50940112"/>
    <w:rsid w:val="549E05E7"/>
    <w:rsid w:val="56823AA0"/>
    <w:rsid w:val="577A41F6"/>
    <w:rsid w:val="57CD4D3F"/>
    <w:rsid w:val="5BA57979"/>
    <w:rsid w:val="5C3D06E5"/>
    <w:rsid w:val="5C902F0B"/>
    <w:rsid w:val="5CD07243"/>
    <w:rsid w:val="5D77518E"/>
    <w:rsid w:val="5FCD6066"/>
    <w:rsid w:val="60483AFC"/>
    <w:rsid w:val="61A11716"/>
    <w:rsid w:val="68213F33"/>
    <w:rsid w:val="6AF9611F"/>
    <w:rsid w:val="6B413622"/>
    <w:rsid w:val="6F40256E"/>
    <w:rsid w:val="70514395"/>
    <w:rsid w:val="713A21FC"/>
    <w:rsid w:val="75153B55"/>
    <w:rsid w:val="7C406D7C"/>
    <w:rsid w:val="F7FE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jc w:val="center"/>
      <w:outlineLvl w:val="0"/>
    </w:pPr>
    <w:rPr>
      <w:rFonts w:ascii="黑体" w:hAnsi="黑体" w:eastAsia="黑体"/>
      <w:bCs/>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99"/>
    <w:pPr>
      <w:spacing w:before="60" w:after="120" w:line="560" w:lineRule="exact"/>
      <w:jc w:val="center"/>
      <w:outlineLvl w:val="0"/>
    </w:pPr>
    <w:rPr>
      <w:rFonts w:eastAsia="方正小标宋简体"/>
      <w:bCs/>
      <w:sz w:val="44"/>
      <w:szCs w:val="32"/>
    </w:rPr>
  </w:style>
  <w:style w:type="paragraph" w:styleId="6">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Paragraph"/>
    <w:basedOn w:val="1"/>
    <w:qFormat/>
    <w:uiPriority w:val="99"/>
    <w:pPr>
      <w:ind w:firstLine="420" w:firstLineChars="200"/>
    </w:pPr>
  </w:style>
  <w:style w:type="paragraph" w:customStyle="1" w:styleId="12">
    <w:name w:val="正文-2字符首行缩进"/>
    <w:basedOn w:val="1"/>
    <w:qFormat/>
    <w:uiPriority w:val="0"/>
    <w:pPr>
      <w:ind w:firstLine="200" w:firstLineChars="200"/>
    </w:pPr>
  </w:style>
  <w:style w:type="character" w:customStyle="1" w:styleId="13">
    <w:name w:val="font61"/>
    <w:basedOn w:val="10"/>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334</Characters>
  <Lines>0</Lines>
  <Paragraphs>0</Paragraphs>
  <TotalTime>32</TotalTime>
  <ScaleCrop>false</ScaleCrop>
  <LinksUpToDate>false</LinksUpToDate>
  <CharactersWithSpaces>334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2024-09-02T08:48:00Z</dcterms:created>
  <dc:creator>86131</dc:creator>
  <cp:lastModifiedBy>gxxc</cp:lastModifiedBy>
  <cp:lastPrinted>2026-01-20T17:34:57Z</cp:lastPrinted>
  <dcterms:modified xsi:type="dcterms:W3CDTF">2026-01-20T17:45:58Z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5C6A2A2A7D2C4C7983369AD31040CDB0_13</vt:lpwstr>
  </property>
  <property fmtid="{D5CDD505-2E9C-101B-9397-08002B2CF9AE}" pid="4" name="KSOTemplateDocerSaveRecord">
    <vt:lpwstr>eyJoZGlkIjoiZThhZjdiMWRkYzFkNDhjNTM0OWQyMjYzY2I1MzNjZTgiLCJ1c2VySWQiOiI1OTM0ODU4OTYifQ==</vt:lpwstr>
  </property>
</Properties>
</file>